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87A8" w14:textId="2696F163" w:rsidR="00C35971" w:rsidRPr="00C35971" w:rsidRDefault="00C35971" w:rsidP="00C3597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59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БЕСЕДА «ПАСХА» В ГРУППЕ «СОЛНЫШКО»</w:t>
      </w:r>
    </w:p>
    <w:p w14:paraId="2B974247" w14:textId="77777777" w:rsidR="00C35971" w:rsidRPr="00C35971" w:rsidRDefault="00C35971" w:rsidP="00C3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971">
        <w:rPr>
          <w:rFonts w:ascii="Times New Roman" w:hAnsi="Times New Roman" w:cs="Times New Roman"/>
          <w:sz w:val="28"/>
          <w:szCs w:val="28"/>
        </w:rPr>
        <w:t>Цель:</w:t>
      </w:r>
    </w:p>
    <w:p w14:paraId="34FCF763" w14:textId="23543887" w:rsidR="00AA35A2" w:rsidRDefault="00C35971" w:rsidP="00C3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971">
        <w:rPr>
          <w:rFonts w:ascii="Times New Roman" w:hAnsi="Times New Roman" w:cs="Times New Roman"/>
          <w:sz w:val="28"/>
          <w:szCs w:val="28"/>
        </w:rPr>
        <w:t>Приобщение дошкольников к национальной культуре, посредством формирования интереса к традициям празднования христианского праздника «Пасха. Светлое Христово Воскресенье». Возрождение традиций народной культуры.</w:t>
      </w:r>
    </w:p>
    <w:p w14:paraId="71095FEB" w14:textId="77777777" w:rsidR="00C35971" w:rsidRDefault="00C35971" w:rsidP="00C3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685B01" w14:textId="34C74CEF" w:rsidR="00C35971" w:rsidRDefault="00C35971" w:rsidP="00C3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B91B66" wp14:editId="524F34AF">
            <wp:extent cx="3724275" cy="279310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40" cy="27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2D69" w14:textId="288FE236" w:rsidR="00C35971" w:rsidRDefault="00C35971" w:rsidP="00C3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E604DD" w14:textId="10AF744A" w:rsidR="00C35971" w:rsidRPr="00C35971" w:rsidRDefault="00C35971" w:rsidP="00C3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95B3C0" wp14:editId="073F52B2">
            <wp:extent cx="3746633" cy="28098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47" cy="281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971" w:rsidRPr="00C3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A2"/>
    <w:rsid w:val="00AA35A2"/>
    <w:rsid w:val="00C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6204"/>
  <w15:chartTrackingRefBased/>
  <w15:docId w15:val="{03075021-6EC2-4617-B735-2964937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2025-04-23T10:34:00Z</dcterms:created>
  <dcterms:modified xsi:type="dcterms:W3CDTF">2025-04-23T10:38:00Z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97236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